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FC" w:rsidRDefault="008F54DD" w:rsidP="007324FC">
      <w:pPr>
        <w:widowControl w:val="0"/>
        <w:autoSpaceDE w:val="0"/>
        <w:autoSpaceDN w:val="0"/>
        <w:adjustRightInd w:val="0"/>
        <w:spacing w:before="160"/>
        <w:jc w:val="center"/>
        <w:rPr>
          <w:sz w:val="22"/>
          <w:szCs w:val="22"/>
        </w:rPr>
      </w:pPr>
      <w:bookmarkStart w:id="0" w:name="_GoBack"/>
      <w:bookmarkEnd w:id="0"/>
      <w:r>
        <w:rPr>
          <w:sz w:val="22"/>
          <w:szCs w:val="22"/>
        </w:rPr>
        <w:t>ARTICLE VI</w:t>
      </w:r>
    </w:p>
    <w:p w:rsidR="007324FC" w:rsidRDefault="008F54DD" w:rsidP="007324FC">
      <w:pPr>
        <w:widowControl w:val="0"/>
        <w:autoSpaceDE w:val="0"/>
        <w:autoSpaceDN w:val="0"/>
        <w:adjustRightInd w:val="0"/>
        <w:jc w:val="center"/>
        <w:rPr>
          <w:sz w:val="22"/>
          <w:szCs w:val="22"/>
        </w:rPr>
      </w:pPr>
      <w:r>
        <w:rPr>
          <w:b/>
          <w:bCs/>
          <w:sz w:val="22"/>
          <w:szCs w:val="22"/>
        </w:rPr>
        <w:t>Town Parking Lot</w:t>
      </w:r>
      <w:r>
        <w:rPr>
          <w:sz w:val="22"/>
          <w:szCs w:val="22"/>
        </w:rPr>
        <w:t xml:space="preserve"> </w:t>
      </w:r>
    </w:p>
    <w:p w:rsidR="007324FC" w:rsidRDefault="0083620E" w:rsidP="007324FC">
      <w:pPr>
        <w:widowControl w:val="0"/>
        <w:autoSpaceDE w:val="0"/>
        <w:autoSpaceDN w:val="0"/>
        <w:adjustRightInd w:val="0"/>
        <w:jc w:val="center"/>
        <w:rPr>
          <w:sz w:val="22"/>
          <w:szCs w:val="22"/>
        </w:rPr>
      </w:pPr>
    </w:p>
    <w:p w:rsidR="007324FC" w:rsidRDefault="008F54DD" w:rsidP="007324FC">
      <w:pPr>
        <w:widowControl w:val="0"/>
        <w:autoSpaceDE w:val="0"/>
        <w:autoSpaceDN w:val="0"/>
        <w:adjustRightInd w:val="0"/>
        <w:spacing w:before="160" w:after="160"/>
        <w:jc w:val="both"/>
        <w:rPr>
          <w:sz w:val="22"/>
          <w:szCs w:val="22"/>
        </w:rPr>
      </w:pPr>
      <w:r>
        <w:rPr>
          <w:b/>
          <w:bCs/>
          <w:sz w:val="22"/>
          <w:szCs w:val="22"/>
        </w:rPr>
        <w:t xml:space="preserve">§ 141-39.  </w:t>
      </w:r>
      <w:proofErr w:type="gramStart"/>
      <w:r>
        <w:rPr>
          <w:b/>
          <w:bCs/>
          <w:sz w:val="22"/>
          <w:szCs w:val="22"/>
        </w:rPr>
        <w:t>Parking lot established; permit required; signs; penalty.</w:t>
      </w:r>
      <w:proofErr w:type="gramEnd"/>
      <w:r>
        <w:rPr>
          <w:sz w:val="22"/>
          <w:szCs w:val="22"/>
        </w:rPr>
        <w:t xml:space="preserve">  </w:t>
      </w:r>
    </w:p>
    <w:p w:rsidR="003968BF" w:rsidRPr="00C42040" w:rsidRDefault="008F54DD" w:rsidP="003968BF">
      <w:pPr>
        <w:widowControl w:val="0"/>
        <w:numPr>
          <w:ilvl w:val="0"/>
          <w:numId w:val="14"/>
        </w:numPr>
        <w:autoSpaceDE w:val="0"/>
        <w:autoSpaceDN w:val="0"/>
        <w:adjustRightInd w:val="0"/>
        <w:spacing w:after="160"/>
        <w:jc w:val="both"/>
      </w:pPr>
      <w:r w:rsidRPr="00C42040">
        <w:t xml:space="preserve">The parking lot </w:t>
      </w:r>
      <w:r>
        <w:t xml:space="preserve">located on Town property </w:t>
      </w:r>
      <w:r w:rsidRPr="00C42040">
        <w:t xml:space="preserve">on the north side of Route 359 in the Hamlet of </w:t>
      </w:r>
      <w:r>
        <w:t>Mandana shall be known as the “</w:t>
      </w:r>
      <w:r w:rsidRPr="00C42040">
        <w:t>Town Parki</w:t>
      </w:r>
      <w:r>
        <w:t>ng Lot in the Hamlet of Mandana” and shall be referred to in this section as the “Parking Lot.”  Parking is not permitted in the Parking Lot</w:t>
      </w:r>
      <w:r w:rsidRPr="00C42040">
        <w:t xml:space="preserve"> without a permit issued by the Town Clerk of the Town of Skaneateles. </w:t>
      </w:r>
    </w:p>
    <w:p w:rsidR="00BB638E" w:rsidRPr="00C42040" w:rsidRDefault="008F54DD" w:rsidP="003968BF">
      <w:pPr>
        <w:widowControl w:val="0"/>
        <w:numPr>
          <w:ilvl w:val="0"/>
          <w:numId w:val="14"/>
        </w:numPr>
        <w:autoSpaceDE w:val="0"/>
        <w:autoSpaceDN w:val="0"/>
        <w:adjustRightInd w:val="0"/>
        <w:spacing w:after="160"/>
        <w:jc w:val="both"/>
      </w:pPr>
      <w:r w:rsidRPr="00C42040">
        <w:t>A permit</w:t>
      </w:r>
      <w:r>
        <w:t xml:space="preserve"> shall</w:t>
      </w:r>
      <w:r w:rsidRPr="00C42040">
        <w:t xml:space="preserve"> be issued to the following individuals:</w:t>
      </w:r>
    </w:p>
    <w:p w:rsidR="00BB638E" w:rsidRPr="00C42040" w:rsidRDefault="008F54DD" w:rsidP="00BB638E">
      <w:pPr>
        <w:widowControl w:val="0"/>
        <w:numPr>
          <w:ilvl w:val="1"/>
          <w:numId w:val="14"/>
        </w:numPr>
        <w:autoSpaceDE w:val="0"/>
        <w:autoSpaceDN w:val="0"/>
        <w:adjustRightInd w:val="0"/>
        <w:spacing w:after="160"/>
        <w:jc w:val="both"/>
      </w:pPr>
      <w:r w:rsidRPr="00C42040">
        <w:t xml:space="preserve">Permanent residents of the Town of Skaneateles </w:t>
      </w:r>
      <w:r>
        <w:t>who can show</w:t>
      </w:r>
      <w:r w:rsidRPr="00C42040">
        <w:t xml:space="preserve"> valid proof of address;</w:t>
      </w:r>
    </w:p>
    <w:p w:rsidR="00803F33" w:rsidRPr="00C42040" w:rsidRDefault="008F54DD" w:rsidP="00BB638E">
      <w:pPr>
        <w:widowControl w:val="0"/>
        <w:numPr>
          <w:ilvl w:val="1"/>
          <w:numId w:val="14"/>
        </w:numPr>
        <w:autoSpaceDE w:val="0"/>
        <w:autoSpaceDN w:val="0"/>
        <w:adjustRightInd w:val="0"/>
        <w:spacing w:after="160"/>
        <w:jc w:val="both"/>
      </w:pPr>
      <w:r w:rsidRPr="00C42040">
        <w:t>Owners of real property in the Town of Skaneateles as shown by a copy of the most recent deed for the real property and by the records of the Town Assessor;</w:t>
      </w:r>
    </w:p>
    <w:p w:rsidR="00CC421C" w:rsidRPr="00C42040" w:rsidRDefault="008F54DD" w:rsidP="00BB638E">
      <w:pPr>
        <w:widowControl w:val="0"/>
        <w:numPr>
          <w:ilvl w:val="1"/>
          <w:numId w:val="14"/>
        </w:numPr>
        <w:autoSpaceDE w:val="0"/>
        <w:autoSpaceDN w:val="0"/>
        <w:adjustRightInd w:val="0"/>
        <w:spacing w:after="160"/>
        <w:jc w:val="both"/>
      </w:pPr>
      <w:r w:rsidRPr="00C42040">
        <w:t xml:space="preserve">Tenants who lease or rent real property in the Town of Skaneateles as shown by a copy of the lease or rental agreement. </w:t>
      </w:r>
    </w:p>
    <w:p w:rsidR="00C42040" w:rsidRPr="00C42040" w:rsidRDefault="008F54DD" w:rsidP="00C42040">
      <w:pPr>
        <w:widowControl w:val="0"/>
        <w:numPr>
          <w:ilvl w:val="0"/>
          <w:numId w:val="14"/>
        </w:numPr>
        <w:autoSpaceDE w:val="0"/>
        <w:autoSpaceDN w:val="0"/>
        <w:adjustRightInd w:val="0"/>
        <w:spacing w:after="160"/>
        <w:jc w:val="both"/>
      </w:pPr>
      <w:r w:rsidRPr="00C42040">
        <w:t xml:space="preserve">Permits shall be effective for one year from the date of issuance, except for those permits issued </w:t>
      </w:r>
      <w:r>
        <w:t>to t</w:t>
      </w:r>
      <w:r w:rsidRPr="00C42040">
        <w:t>enants who lease or rent real property in the Town of Skaneateles, the duration of which shall be for the term of the lease or rental period or one year, whichever is shorter.</w:t>
      </w:r>
      <w:r>
        <w:t xml:space="preserve"> </w:t>
      </w:r>
    </w:p>
    <w:p w:rsidR="007324FC" w:rsidRPr="00C42040" w:rsidRDefault="008F54DD" w:rsidP="00C42040">
      <w:pPr>
        <w:widowControl w:val="0"/>
        <w:numPr>
          <w:ilvl w:val="0"/>
          <w:numId w:val="14"/>
        </w:numPr>
        <w:autoSpaceDE w:val="0"/>
        <w:autoSpaceDN w:val="0"/>
        <w:adjustRightInd w:val="0"/>
        <w:spacing w:after="160"/>
        <w:jc w:val="both"/>
      </w:pPr>
      <w:r w:rsidRPr="00C42040">
        <w:t xml:space="preserve">Fees for permits may be fixed and amended from time to time by resolution of the Town Board.  </w:t>
      </w:r>
    </w:p>
    <w:p w:rsidR="007324FC" w:rsidRPr="00C42040" w:rsidRDefault="008F54DD" w:rsidP="00A25B32">
      <w:pPr>
        <w:widowControl w:val="0"/>
        <w:numPr>
          <w:ilvl w:val="0"/>
          <w:numId w:val="14"/>
        </w:numPr>
        <w:autoSpaceDE w:val="0"/>
        <w:autoSpaceDN w:val="0"/>
        <w:adjustRightInd w:val="0"/>
        <w:spacing w:after="160"/>
        <w:jc w:val="both"/>
      </w:pPr>
      <w:r w:rsidRPr="00C42040">
        <w:t xml:space="preserve">The Superintendent of Highways shall provide and maintain signage at the parking lot which </w:t>
      </w:r>
      <w:r>
        <w:t>shall supply</w:t>
      </w:r>
      <w:r w:rsidRPr="00C42040">
        <w:t xml:space="preserve"> adequate notice that parking is limited to persons with a permit issued by the </w:t>
      </w:r>
      <w:r>
        <w:t xml:space="preserve">Clerk of the </w:t>
      </w:r>
      <w:r w:rsidRPr="00C42040">
        <w:t xml:space="preserve">Town of Skaneateles.  </w:t>
      </w:r>
    </w:p>
    <w:p w:rsidR="007324FC" w:rsidRPr="00C42040" w:rsidRDefault="008F54DD" w:rsidP="00A25B32">
      <w:pPr>
        <w:widowControl w:val="0"/>
        <w:numPr>
          <w:ilvl w:val="0"/>
          <w:numId w:val="14"/>
        </w:numPr>
        <w:autoSpaceDE w:val="0"/>
        <w:autoSpaceDN w:val="0"/>
        <w:adjustRightInd w:val="0"/>
        <w:spacing w:after="160"/>
        <w:jc w:val="both"/>
      </w:pPr>
      <w:r w:rsidRPr="00C42040">
        <w:t>Permits must be prominently displayed in</w:t>
      </w:r>
      <w:r>
        <w:t xml:space="preserve"> or on</w:t>
      </w:r>
      <w:r w:rsidRPr="00C42040">
        <w:t xml:space="preserve"> each vehicle</w:t>
      </w:r>
      <w:r>
        <w:t xml:space="preserve"> while parked in the Parking Lot</w:t>
      </w:r>
      <w:r w:rsidRPr="00C42040">
        <w:t xml:space="preserve">. Failure to obtain and display a permit </w:t>
      </w:r>
      <w:r>
        <w:t xml:space="preserve">as required under this section shall be deemed a traffic infraction under § 141-3 and could result in a fine in accordance with that section. Any vehicle without a permit left unattended for more than 24 hours in the Parking Lot may be removed and disposed of at the owner’s expense in accordance with § 141-22(C) and § 141-23. </w:t>
      </w:r>
    </w:p>
    <w:p w:rsidR="00DB1F0C" w:rsidRPr="001275FC" w:rsidRDefault="0083620E" w:rsidP="001275FC"/>
    <w:sectPr w:rsidR="00DB1F0C" w:rsidRPr="001275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A2" w:rsidRDefault="008F54DD">
      <w:r>
        <w:separator/>
      </w:r>
    </w:p>
  </w:endnote>
  <w:endnote w:type="continuationSeparator" w:id="0">
    <w:p w:rsidR="003C06A2" w:rsidRDefault="008F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A879E5" w:rsidTr="00C95D77">
      <w:tc>
        <w:tcPr>
          <w:tcW w:w="1667" w:type="pct"/>
          <w:shd w:val="clear" w:color="auto" w:fill="auto"/>
          <w:vAlign w:val="bottom"/>
        </w:tcPr>
        <w:p w:rsidR="00C95D77" w:rsidRDefault="0083620E" w:rsidP="00C95D77">
          <w:pPr>
            <w:pStyle w:val="Footer"/>
          </w:pPr>
        </w:p>
      </w:tc>
      <w:tc>
        <w:tcPr>
          <w:tcW w:w="1667" w:type="pct"/>
          <w:shd w:val="clear" w:color="auto" w:fill="auto"/>
          <w:vAlign w:val="bottom"/>
        </w:tcPr>
        <w:p w:rsidR="00C95D77" w:rsidRDefault="0083620E" w:rsidP="00C95D77">
          <w:pPr>
            <w:pStyle w:val="Footer"/>
            <w:jc w:val="center"/>
          </w:pPr>
        </w:p>
      </w:tc>
      <w:tc>
        <w:tcPr>
          <w:tcW w:w="1667" w:type="pct"/>
          <w:shd w:val="clear" w:color="auto" w:fill="auto"/>
          <w:vAlign w:val="bottom"/>
        </w:tcPr>
        <w:p w:rsidR="00C95D77" w:rsidRPr="00C95D77" w:rsidRDefault="008F54DD" w:rsidP="00C95D77">
          <w:pPr>
            <w:pStyle w:val="Footer"/>
            <w:jc w:val="right"/>
            <w:rPr>
              <w:rFonts w:ascii="Arial" w:hAnsi="Arial" w:cs="Arial"/>
              <w:sz w:val="14"/>
            </w:rPr>
          </w:pPr>
          <w:r>
            <w:rPr>
              <w:rFonts w:ascii="Arial" w:hAnsi="Arial" w:cs="Arial"/>
              <w:sz w:val="14"/>
            </w:rPr>
            <w:t>2927331.1 6/15/2017</w:t>
          </w:r>
        </w:p>
      </w:tc>
    </w:tr>
  </w:tbl>
  <w:p w:rsidR="00C95D77" w:rsidRDefault="00836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A879E5" w:rsidTr="00C95D77">
      <w:tc>
        <w:tcPr>
          <w:tcW w:w="1667" w:type="pct"/>
          <w:shd w:val="clear" w:color="auto" w:fill="auto"/>
          <w:vAlign w:val="bottom"/>
        </w:tcPr>
        <w:p w:rsidR="00C95D77" w:rsidRDefault="0083620E" w:rsidP="00C95D77">
          <w:pPr>
            <w:pStyle w:val="Footer"/>
          </w:pPr>
        </w:p>
      </w:tc>
      <w:tc>
        <w:tcPr>
          <w:tcW w:w="1667" w:type="pct"/>
          <w:shd w:val="clear" w:color="auto" w:fill="auto"/>
          <w:vAlign w:val="bottom"/>
        </w:tcPr>
        <w:p w:rsidR="00C95D77" w:rsidRDefault="0083620E" w:rsidP="00C95D77">
          <w:pPr>
            <w:pStyle w:val="Footer"/>
            <w:jc w:val="center"/>
          </w:pPr>
        </w:p>
      </w:tc>
      <w:tc>
        <w:tcPr>
          <w:tcW w:w="1667" w:type="pct"/>
          <w:shd w:val="clear" w:color="auto" w:fill="auto"/>
          <w:vAlign w:val="bottom"/>
        </w:tcPr>
        <w:p w:rsidR="00C95D77" w:rsidRPr="00C95D77" w:rsidRDefault="008F54DD" w:rsidP="00C95D77">
          <w:pPr>
            <w:pStyle w:val="Footer"/>
            <w:jc w:val="right"/>
            <w:rPr>
              <w:rFonts w:ascii="Arial" w:hAnsi="Arial" w:cs="Arial"/>
              <w:sz w:val="14"/>
            </w:rPr>
          </w:pPr>
          <w:r>
            <w:rPr>
              <w:rFonts w:ascii="Arial" w:hAnsi="Arial" w:cs="Arial"/>
              <w:sz w:val="14"/>
            </w:rPr>
            <w:t>2927331.1 6/15/2017</w:t>
          </w:r>
        </w:p>
      </w:tc>
    </w:tr>
  </w:tbl>
  <w:p w:rsidR="00C95D77" w:rsidRDefault="008362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A879E5" w:rsidTr="00C95D77">
      <w:tc>
        <w:tcPr>
          <w:tcW w:w="1667" w:type="pct"/>
          <w:shd w:val="clear" w:color="auto" w:fill="auto"/>
          <w:vAlign w:val="bottom"/>
        </w:tcPr>
        <w:p w:rsidR="00C95D77" w:rsidRDefault="0083620E" w:rsidP="00C95D77">
          <w:pPr>
            <w:pStyle w:val="Footer"/>
          </w:pPr>
        </w:p>
      </w:tc>
      <w:tc>
        <w:tcPr>
          <w:tcW w:w="1667" w:type="pct"/>
          <w:shd w:val="clear" w:color="auto" w:fill="auto"/>
          <w:vAlign w:val="bottom"/>
        </w:tcPr>
        <w:p w:rsidR="00C95D77" w:rsidRDefault="0083620E" w:rsidP="00C95D77">
          <w:pPr>
            <w:pStyle w:val="Footer"/>
            <w:jc w:val="center"/>
          </w:pPr>
        </w:p>
      </w:tc>
      <w:tc>
        <w:tcPr>
          <w:tcW w:w="1667" w:type="pct"/>
          <w:shd w:val="clear" w:color="auto" w:fill="auto"/>
          <w:vAlign w:val="bottom"/>
        </w:tcPr>
        <w:p w:rsidR="00C95D77" w:rsidRPr="00C95D77" w:rsidRDefault="008F54DD" w:rsidP="00C95D77">
          <w:pPr>
            <w:pStyle w:val="Footer"/>
            <w:jc w:val="right"/>
            <w:rPr>
              <w:rFonts w:ascii="Arial" w:hAnsi="Arial" w:cs="Arial"/>
              <w:sz w:val="14"/>
            </w:rPr>
          </w:pPr>
          <w:r>
            <w:rPr>
              <w:rFonts w:ascii="Arial" w:hAnsi="Arial" w:cs="Arial"/>
              <w:sz w:val="14"/>
            </w:rPr>
            <w:t>2927331.1 6/15/2017</w:t>
          </w:r>
        </w:p>
      </w:tc>
    </w:tr>
  </w:tbl>
  <w:p w:rsidR="00C95D77" w:rsidRDefault="00836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A2" w:rsidRDefault="008F54DD">
      <w:r>
        <w:separator/>
      </w:r>
    </w:p>
  </w:footnote>
  <w:footnote w:type="continuationSeparator" w:id="0">
    <w:p w:rsidR="003C06A2" w:rsidRDefault="008F5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81" w:rsidRDefault="00836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81" w:rsidRDefault="008362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81" w:rsidRDefault="00836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18E7F4"/>
    <w:lvl w:ilvl="0">
      <w:start w:val="1"/>
      <w:numFmt w:val="decimal"/>
      <w:lvlText w:val="%1."/>
      <w:lvlJc w:val="left"/>
      <w:pPr>
        <w:tabs>
          <w:tab w:val="num" w:pos="1800"/>
        </w:tabs>
        <w:ind w:left="1800" w:hanging="360"/>
      </w:pPr>
    </w:lvl>
  </w:abstractNum>
  <w:abstractNum w:abstractNumId="1">
    <w:nsid w:val="FFFFFF7D"/>
    <w:multiLevelType w:val="singleLevel"/>
    <w:tmpl w:val="95F6A340"/>
    <w:lvl w:ilvl="0">
      <w:start w:val="1"/>
      <w:numFmt w:val="decimal"/>
      <w:lvlText w:val="%1."/>
      <w:lvlJc w:val="left"/>
      <w:pPr>
        <w:tabs>
          <w:tab w:val="num" w:pos="1440"/>
        </w:tabs>
        <w:ind w:left="1440" w:hanging="360"/>
      </w:pPr>
    </w:lvl>
  </w:abstractNum>
  <w:abstractNum w:abstractNumId="2">
    <w:nsid w:val="FFFFFF7E"/>
    <w:multiLevelType w:val="singleLevel"/>
    <w:tmpl w:val="109CA4A4"/>
    <w:lvl w:ilvl="0">
      <w:start w:val="1"/>
      <w:numFmt w:val="decimal"/>
      <w:lvlText w:val="%1."/>
      <w:lvlJc w:val="left"/>
      <w:pPr>
        <w:tabs>
          <w:tab w:val="num" w:pos="1080"/>
        </w:tabs>
        <w:ind w:left="1080" w:hanging="360"/>
      </w:pPr>
    </w:lvl>
  </w:abstractNum>
  <w:abstractNum w:abstractNumId="3">
    <w:nsid w:val="FFFFFF7F"/>
    <w:multiLevelType w:val="singleLevel"/>
    <w:tmpl w:val="64F2EE1C"/>
    <w:lvl w:ilvl="0">
      <w:start w:val="1"/>
      <w:numFmt w:val="decimal"/>
      <w:lvlText w:val="%1."/>
      <w:lvlJc w:val="left"/>
      <w:pPr>
        <w:tabs>
          <w:tab w:val="num" w:pos="720"/>
        </w:tabs>
        <w:ind w:left="720" w:hanging="360"/>
      </w:pPr>
    </w:lvl>
  </w:abstractNum>
  <w:abstractNum w:abstractNumId="4">
    <w:nsid w:val="FFFFFF80"/>
    <w:multiLevelType w:val="singleLevel"/>
    <w:tmpl w:val="5F1A0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6601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D8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3642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DEE49A"/>
    <w:lvl w:ilvl="0">
      <w:start w:val="1"/>
      <w:numFmt w:val="decimal"/>
      <w:lvlText w:val="%1."/>
      <w:lvlJc w:val="left"/>
      <w:pPr>
        <w:tabs>
          <w:tab w:val="num" w:pos="360"/>
        </w:tabs>
        <w:ind w:left="360" w:hanging="360"/>
      </w:pPr>
    </w:lvl>
  </w:abstractNum>
  <w:abstractNum w:abstractNumId="9">
    <w:nsid w:val="FFFFFF89"/>
    <w:multiLevelType w:val="singleLevel"/>
    <w:tmpl w:val="9C70FD7C"/>
    <w:lvl w:ilvl="0">
      <w:start w:val="1"/>
      <w:numFmt w:val="bullet"/>
      <w:lvlText w:val=""/>
      <w:lvlJc w:val="left"/>
      <w:pPr>
        <w:tabs>
          <w:tab w:val="num" w:pos="360"/>
        </w:tabs>
        <w:ind w:left="360" w:hanging="360"/>
      </w:pPr>
      <w:rPr>
        <w:rFonts w:ascii="Symbol" w:hAnsi="Symbol" w:hint="default"/>
      </w:rPr>
    </w:lvl>
  </w:abstractNum>
  <w:abstractNum w:abstractNumId="10">
    <w:nsid w:val="36E65EA3"/>
    <w:multiLevelType w:val="hybridMultilevel"/>
    <w:tmpl w:val="820EB2A0"/>
    <w:lvl w:ilvl="0" w:tplc="75A6FA94">
      <w:start w:val="1"/>
      <w:numFmt w:val="upperLetter"/>
      <w:lvlText w:val="%1."/>
      <w:lvlJc w:val="left"/>
      <w:pPr>
        <w:ind w:left="361" w:hanging="360"/>
      </w:pPr>
      <w:rPr>
        <w:rFonts w:hint="default"/>
      </w:rPr>
    </w:lvl>
    <w:lvl w:ilvl="1" w:tplc="97400936">
      <w:start w:val="1"/>
      <w:numFmt w:val="lowerLetter"/>
      <w:lvlText w:val="%2."/>
      <w:lvlJc w:val="left"/>
      <w:pPr>
        <w:ind w:left="1081" w:hanging="360"/>
      </w:pPr>
    </w:lvl>
    <w:lvl w:ilvl="2" w:tplc="C4C8A3B6">
      <w:start w:val="1"/>
      <w:numFmt w:val="lowerRoman"/>
      <w:lvlText w:val="%3."/>
      <w:lvlJc w:val="right"/>
      <w:pPr>
        <w:ind w:left="1801" w:hanging="180"/>
      </w:pPr>
    </w:lvl>
    <w:lvl w:ilvl="3" w:tplc="F45281BA" w:tentative="1">
      <w:start w:val="1"/>
      <w:numFmt w:val="decimal"/>
      <w:lvlText w:val="%4."/>
      <w:lvlJc w:val="left"/>
      <w:pPr>
        <w:ind w:left="2521" w:hanging="360"/>
      </w:pPr>
    </w:lvl>
    <w:lvl w:ilvl="4" w:tplc="5EAEBC4E" w:tentative="1">
      <w:start w:val="1"/>
      <w:numFmt w:val="lowerLetter"/>
      <w:lvlText w:val="%5."/>
      <w:lvlJc w:val="left"/>
      <w:pPr>
        <w:ind w:left="3241" w:hanging="360"/>
      </w:pPr>
    </w:lvl>
    <w:lvl w:ilvl="5" w:tplc="91FE2594" w:tentative="1">
      <w:start w:val="1"/>
      <w:numFmt w:val="lowerRoman"/>
      <w:lvlText w:val="%6."/>
      <w:lvlJc w:val="right"/>
      <w:pPr>
        <w:ind w:left="3961" w:hanging="180"/>
      </w:pPr>
    </w:lvl>
    <w:lvl w:ilvl="6" w:tplc="14E868AE" w:tentative="1">
      <w:start w:val="1"/>
      <w:numFmt w:val="decimal"/>
      <w:lvlText w:val="%7."/>
      <w:lvlJc w:val="left"/>
      <w:pPr>
        <w:ind w:left="4681" w:hanging="360"/>
      </w:pPr>
    </w:lvl>
    <w:lvl w:ilvl="7" w:tplc="32206246" w:tentative="1">
      <w:start w:val="1"/>
      <w:numFmt w:val="lowerLetter"/>
      <w:lvlText w:val="%8."/>
      <w:lvlJc w:val="left"/>
      <w:pPr>
        <w:ind w:left="5401" w:hanging="360"/>
      </w:pPr>
    </w:lvl>
    <w:lvl w:ilvl="8" w:tplc="83A6DD0C" w:tentative="1">
      <w:start w:val="1"/>
      <w:numFmt w:val="lowerRoman"/>
      <w:lvlText w:val="%9."/>
      <w:lvlJc w:val="right"/>
      <w:pPr>
        <w:ind w:left="6121" w:hanging="180"/>
      </w:pPr>
    </w:lvl>
  </w:abstractNum>
  <w:abstractNum w:abstractNumId="11">
    <w:nsid w:val="41E835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28F26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3B5D23"/>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2"/>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E5"/>
    <w:rsid w:val="003C06A2"/>
    <w:rsid w:val="0083620E"/>
    <w:rsid w:val="008F54DD"/>
    <w:rsid w:val="00A8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324FC"/>
    <w:rPr>
      <w:rFonts w:ascii="Times New Roman" w:hAnsi="Times New Roman"/>
    </w:rPr>
  </w:style>
  <w:style w:type="paragraph" w:styleId="Heading1">
    <w:name w:val="heading 1"/>
    <w:basedOn w:val="Normal"/>
    <w:next w:val="Normal"/>
    <w:link w:val="Heading1Char"/>
    <w:uiPriority w:val="99"/>
    <w:rsid w:val="00B47E92"/>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rsid w:val="00B47E92"/>
    <w:pPr>
      <w:keepNext/>
      <w:keepLines/>
      <w:numPr>
        <w:ilvl w:val="1"/>
        <w:numId w:val="3"/>
      </w:numPr>
      <w:spacing w:before="20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semiHidden/>
    <w:unhideWhenUsed/>
    <w:rsid w:val="00B47E92"/>
    <w:pPr>
      <w:keepNext/>
      <w:keepLines/>
      <w:numPr>
        <w:ilvl w:val="2"/>
        <w:numId w:val="3"/>
      </w:numPr>
      <w:spacing w:before="20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rsid w:val="00B47E92"/>
    <w:pPr>
      <w:keepNext/>
      <w:keepLines/>
      <w:numPr>
        <w:ilvl w:val="3"/>
        <w:numId w:val="3"/>
      </w:numPr>
      <w:spacing w:before="200"/>
      <w:outlineLvl w:val="3"/>
    </w:pPr>
    <w:rPr>
      <w:rFonts w:ascii="Arial" w:eastAsiaTheme="majorEastAsia" w:hAnsi="Arial" w:cstheme="majorBidi"/>
      <w:b/>
      <w:bCs/>
      <w:i/>
      <w:iCs/>
    </w:rPr>
  </w:style>
  <w:style w:type="paragraph" w:styleId="Heading5">
    <w:name w:val="heading 5"/>
    <w:basedOn w:val="Normal"/>
    <w:next w:val="Normal"/>
    <w:link w:val="Heading5Char"/>
    <w:uiPriority w:val="9"/>
    <w:semiHidden/>
    <w:unhideWhenUsed/>
    <w:rsid w:val="00B47E92"/>
    <w:pPr>
      <w:keepNext/>
      <w:keepLines/>
      <w:numPr>
        <w:ilvl w:val="4"/>
        <w:numId w:val="3"/>
      </w:numPr>
      <w:spacing w:before="200"/>
      <w:outlineLvl w:val="4"/>
    </w:pPr>
    <w:rPr>
      <w:rFonts w:ascii="Arial" w:eastAsiaTheme="majorEastAsia" w:hAnsi="Arial" w:cstheme="majorBidi"/>
    </w:rPr>
  </w:style>
  <w:style w:type="paragraph" w:styleId="Heading6">
    <w:name w:val="heading 6"/>
    <w:basedOn w:val="Normal"/>
    <w:next w:val="Normal"/>
    <w:link w:val="Heading6Char"/>
    <w:uiPriority w:val="9"/>
    <w:semiHidden/>
    <w:unhideWhenUsed/>
    <w:rsid w:val="00B47E92"/>
    <w:pPr>
      <w:keepNext/>
      <w:keepLines/>
      <w:numPr>
        <w:ilvl w:val="5"/>
        <w:numId w:val="3"/>
      </w:numPr>
      <w:spacing w:before="200"/>
      <w:outlineLvl w:val="5"/>
    </w:pPr>
    <w:rPr>
      <w:rFonts w:ascii="Arial" w:eastAsiaTheme="majorEastAsia" w:hAnsi="Arial" w:cstheme="majorBidi"/>
      <w:i/>
      <w:iCs/>
    </w:rPr>
  </w:style>
  <w:style w:type="paragraph" w:styleId="Heading7">
    <w:name w:val="heading 7"/>
    <w:basedOn w:val="Normal"/>
    <w:next w:val="Normal"/>
    <w:link w:val="Heading7Char"/>
    <w:uiPriority w:val="9"/>
    <w:semiHidden/>
    <w:unhideWhenUsed/>
    <w:rsid w:val="00B47E92"/>
    <w:pPr>
      <w:keepNext/>
      <w:keepLines/>
      <w:numPr>
        <w:ilvl w:val="6"/>
        <w:numId w:val="3"/>
      </w:numPr>
      <w:spacing w:before="200"/>
      <w:outlineLvl w:val="6"/>
    </w:pPr>
    <w:rPr>
      <w:rFonts w:ascii="Arial" w:eastAsiaTheme="majorEastAsia" w:hAnsi="Arial" w:cstheme="majorBidi"/>
      <w:i/>
      <w:iCs/>
    </w:rPr>
  </w:style>
  <w:style w:type="paragraph" w:styleId="Heading8">
    <w:name w:val="heading 8"/>
    <w:basedOn w:val="Normal"/>
    <w:next w:val="Normal"/>
    <w:link w:val="Heading8Char"/>
    <w:uiPriority w:val="9"/>
    <w:semiHidden/>
    <w:unhideWhenUsed/>
    <w:rsid w:val="00B47E92"/>
    <w:pPr>
      <w:keepNext/>
      <w:keepLines/>
      <w:numPr>
        <w:ilvl w:val="7"/>
        <w:numId w:val="3"/>
      </w:numPr>
      <w:spacing w:before="200"/>
      <w:outlineLvl w:val="7"/>
    </w:pPr>
    <w:rPr>
      <w:rFonts w:ascii="Arial" w:eastAsiaTheme="majorEastAsia" w:hAnsi="Arial"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B47E92"/>
    <w:pPr>
      <w:keepNext/>
      <w:keepLines/>
      <w:numPr>
        <w:ilvl w:val="8"/>
        <w:numId w:val="3"/>
      </w:numPr>
      <w:spacing w:before="200"/>
      <w:outlineLvl w:val="8"/>
    </w:pPr>
    <w:rPr>
      <w:rFonts w:ascii="Arial" w:eastAsiaTheme="majorEastAsia" w:hAnsi="Arial"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uiPriority w:val="1"/>
    <w:qFormat/>
    <w:rsid w:val="00F33D0B"/>
    <w:pPr>
      <w:spacing w:after="240"/>
      <w:ind w:left="1440" w:right="1440"/>
    </w:pPr>
    <w:rPr>
      <w:rFonts w:ascii="Arial" w:hAnsi="Arial"/>
    </w:rPr>
  </w:style>
  <w:style w:type="paragraph" w:customStyle="1" w:styleId="Leftss">
    <w:name w:val="Left ss"/>
    <w:basedOn w:val="Normal"/>
    <w:uiPriority w:val="1"/>
    <w:qFormat/>
    <w:rsid w:val="00F33D0B"/>
    <w:pPr>
      <w:spacing w:after="240"/>
    </w:pPr>
    <w:rPr>
      <w:rFonts w:ascii="Arial" w:hAnsi="Arial"/>
    </w:rPr>
  </w:style>
  <w:style w:type="paragraph" w:customStyle="1" w:styleId="Indent5ds">
    <w:name w:val="Indent5ds"/>
    <w:basedOn w:val="Normal"/>
    <w:uiPriority w:val="1"/>
    <w:qFormat/>
    <w:rsid w:val="00F33D0B"/>
    <w:pPr>
      <w:spacing w:line="480" w:lineRule="auto"/>
      <w:ind w:firstLine="720"/>
    </w:pPr>
    <w:rPr>
      <w:rFonts w:ascii="Arial" w:hAnsi="Arial"/>
    </w:rPr>
  </w:style>
  <w:style w:type="paragraph" w:customStyle="1" w:styleId="Indent5ss">
    <w:name w:val="Indent5ss"/>
    <w:basedOn w:val="Normal"/>
    <w:uiPriority w:val="1"/>
    <w:qFormat/>
    <w:rsid w:val="00F33D0B"/>
    <w:pPr>
      <w:spacing w:after="240"/>
      <w:ind w:firstLine="720"/>
    </w:pPr>
    <w:rPr>
      <w:rFonts w:ascii="Arial" w:hAnsi="Arial"/>
    </w:rPr>
  </w:style>
  <w:style w:type="character" w:customStyle="1" w:styleId="Heading1Char">
    <w:name w:val="Heading 1 Char"/>
    <w:basedOn w:val="DefaultParagraphFont"/>
    <w:link w:val="Heading1"/>
    <w:uiPriority w:val="99"/>
    <w:rsid w:val="00F33D0B"/>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B47E92"/>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B47E92"/>
    <w:rPr>
      <w:rFonts w:eastAsiaTheme="majorEastAsia" w:cstheme="majorBidi"/>
      <w:b/>
      <w:bCs/>
    </w:rPr>
  </w:style>
  <w:style w:type="character" w:customStyle="1" w:styleId="Heading4Char">
    <w:name w:val="Heading 4 Char"/>
    <w:basedOn w:val="DefaultParagraphFont"/>
    <w:link w:val="Heading4"/>
    <w:uiPriority w:val="9"/>
    <w:semiHidden/>
    <w:rsid w:val="00B47E92"/>
    <w:rPr>
      <w:rFonts w:eastAsiaTheme="majorEastAsia" w:cstheme="majorBidi"/>
      <w:b/>
      <w:bCs/>
      <w:i/>
      <w:iCs/>
    </w:rPr>
  </w:style>
  <w:style w:type="character" w:customStyle="1" w:styleId="Heading5Char">
    <w:name w:val="Heading 5 Char"/>
    <w:basedOn w:val="DefaultParagraphFont"/>
    <w:link w:val="Heading5"/>
    <w:uiPriority w:val="9"/>
    <w:semiHidden/>
    <w:rsid w:val="00B47E92"/>
    <w:rPr>
      <w:rFonts w:eastAsiaTheme="majorEastAsia" w:cstheme="majorBidi"/>
    </w:rPr>
  </w:style>
  <w:style w:type="character" w:customStyle="1" w:styleId="Heading6Char">
    <w:name w:val="Heading 6 Char"/>
    <w:basedOn w:val="DefaultParagraphFont"/>
    <w:link w:val="Heading6"/>
    <w:uiPriority w:val="9"/>
    <w:semiHidden/>
    <w:rsid w:val="00B47E92"/>
    <w:rPr>
      <w:rFonts w:eastAsiaTheme="majorEastAsia" w:cstheme="majorBidi"/>
      <w:i/>
      <w:iCs/>
    </w:rPr>
  </w:style>
  <w:style w:type="character" w:customStyle="1" w:styleId="Heading7Char">
    <w:name w:val="Heading 7 Char"/>
    <w:basedOn w:val="DefaultParagraphFont"/>
    <w:link w:val="Heading7"/>
    <w:uiPriority w:val="9"/>
    <w:semiHidden/>
    <w:rsid w:val="00B47E92"/>
    <w:rPr>
      <w:rFonts w:eastAsiaTheme="majorEastAsia" w:cstheme="majorBidi"/>
      <w:i/>
      <w:iCs/>
    </w:rPr>
  </w:style>
  <w:style w:type="character" w:customStyle="1" w:styleId="Heading8Char">
    <w:name w:val="Heading 8 Char"/>
    <w:basedOn w:val="DefaultParagraphFont"/>
    <w:link w:val="Heading8"/>
    <w:uiPriority w:val="9"/>
    <w:semiHidden/>
    <w:rsid w:val="00B47E92"/>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7E92"/>
    <w:rPr>
      <w:rFonts w:eastAsiaTheme="majorEastAsia" w:cstheme="majorBidi"/>
      <w:i/>
      <w:iCs/>
      <w:sz w:val="20"/>
      <w:szCs w:val="20"/>
    </w:rPr>
  </w:style>
  <w:style w:type="paragraph" w:styleId="TOCHeading">
    <w:name w:val="TOC Heading"/>
    <w:basedOn w:val="Heading1"/>
    <w:next w:val="Normal"/>
    <w:uiPriority w:val="39"/>
    <w:semiHidden/>
    <w:unhideWhenUsed/>
    <w:rsid w:val="00B47E92"/>
    <w:pPr>
      <w:outlineLvl w:val="9"/>
    </w:pPr>
  </w:style>
  <w:style w:type="paragraph" w:styleId="BlockText">
    <w:name w:val="Block Text"/>
    <w:basedOn w:val="Normal"/>
    <w:uiPriority w:val="99"/>
    <w:semiHidden/>
    <w:unhideWhenUsed/>
    <w:rsid w:val="00B47E9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Arial" w:eastAsiaTheme="minorEastAsia" w:hAnsi="Arial" w:cstheme="minorBidi"/>
      <w:i/>
      <w:iCs/>
    </w:rPr>
  </w:style>
  <w:style w:type="paragraph" w:styleId="EnvelopeAddress">
    <w:name w:val="envelope address"/>
    <w:basedOn w:val="Normal"/>
    <w:uiPriority w:val="99"/>
    <w:semiHidden/>
    <w:unhideWhenUsed/>
    <w:rsid w:val="001275FC"/>
    <w:pPr>
      <w:framePr w:w="7920" w:h="1980" w:hRule="exact" w:hSpace="180" w:wrap="auto" w:hAnchor="page" w:xAlign="center" w:yAlign="bottom"/>
      <w:ind w:left="2880"/>
    </w:pPr>
    <w:rPr>
      <w:rFonts w:ascii="Arial" w:eastAsiaTheme="majorEastAsia" w:hAnsi="Arial" w:cstheme="majorBidi"/>
    </w:rPr>
  </w:style>
  <w:style w:type="paragraph" w:styleId="EnvelopeReturn">
    <w:name w:val="envelope return"/>
    <w:basedOn w:val="Normal"/>
    <w:uiPriority w:val="99"/>
    <w:semiHidden/>
    <w:unhideWhenUsed/>
    <w:rsid w:val="00B47E92"/>
    <w:rPr>
      <w:rFonts w:ascii="Arial" w:eastAsiaTheme="majorEastAsia" w:hAnsi="Arial" w:cstheme="majorBidi"/>
      <w:sz w:val="20"/>
      <w:szCs w:val="20"/>
    </w:rPr>
  </w:style>
  <w:style w:type="paragraph" w:styleId="Index1">
    <w:name w:val="index 1"/>
    <w:basedOn w:val="Normal"/>
    <w:next w:val="Normal"/>
    <w:autoRedefine/>
    <w:uiPriority w:val="99"/>
    <w:semiHidden/>
    <w:unhideWhenUsed/>
    <w:rsid w:val="00B47E92"/>
    <w:pPr>
      <w:ind w:left="240" w:hanging="240"/>
    </w:pPr>
    <w:rPr>
      <w:rFonts w:ascii="Arial" w:hAnsi="Arial"/>
    </w:rPr>
  </w:style>
  <w:style w:type="paragraph" w:styleId="IndexHeading">
    <w:name w:val="index heading"/>
    <w:basedOn w:val="Normal"/>
    <w:next w:val="Index1"/>
    <w:uiPriority w:val="99"/>
    <w:semiHidden/>
    <w:unhideWhenUsed/>
    <w:rsid w:val="00B47E92"/>
    <w:rPr>
      <w:rFonts w:ascii="Arial" w:eastAsiaTheme="majorEastAsia" w:hAnsi="Arial" w:cstheme="majorBidi"/>
      <w:b/>
      <w:bCs/>
    </w:rPr>
  </w:style>
  <w:style w:type="paragraph" w:styleId="TOAHeading">
    <w:name w:val="toa heading"/>
    <w:basedOn w:val="Normal"/>
    <w:next w:val="Normal"/>
    <w:uiPriority w:val="99"/>
    <w:semiHidden/>
    <w:unhideWhenUsed/>
    <w:rsid w:val="00B47E92"/>
    <w:pPr>
      <w:spacing w:before="120"/>
    </w:pPr>
    <w:rPr>
      <w:rFonts w:ascii="Arial" w:eastAsiaTheme="majorEastAsia" w:hAnsi="Arial" w:cstheme="majorBidi"/>
      <w:b/>
      <w:bCs/>
    </w:rPr>
  </w:style>
  <w:style w:type="paragraph" w:customStyle="1" w:styleId="HD1Bond">
    <w:name w:val="HD1Bond"/>
    <w:basedOn w:val="Normal"/>
    <w:next w:val="Normal"/>
    <w:link w:val="HD1BondChar"/>
    <w:uiPriority w:val="2"/>
    <w:qFormat/>
    <w:rsid w:val="00F33D0B"/>
    <w:pPr>
      <w:spacing w:after="240"/>
      <w:jc w:val="both"/>
    </w:pPr>
    <w:rPr>
      <w:rFonts w:ascii="Arial" w:hAnsi="Arial"/>
    </w:rPr>
  </w:style>
  <w:style w:type="character" w:customStyle="1" w:styleId="HD1BondChar">
    <w:name w:val="HD1Bond Char"/>
    <w:basedOn w:val="DefaultParagraphFont"/>
    <w:link w:val="HD1Bond"/>
    <w:uiPriority w:val="2"/>
    <w:rsid w:val="00F33D0B"/>
  </w:style>
  <w:style w:type="paragraph" w:customStyle="1" w:styleId="HD2Bond">
    <w:name w:val="HD2Bond"/>
    <w:basedOn w:val="Normal"/>
    <w:next w:val="Normal"/>
    <w:link w:val="HD2BondChar"/>
    <w:uiPriority w:val="2"/>
    <w:rsid w:val="00F33D0B"/>
    <w:pPr>
      <w:spacing w:line="480" w:lineRule="auto"/>
      <w:ind w:firstLine="720"/>
    </w:pPr>
    <w:rPr>
      <w:rFonts w:ascii="Arial" w:hAnsi="Arial"/>
      <w:b/>
    </w:rPr>
  </w:style>
  <w:style w:type="character" w:customStyle="1" w:styleId="HD2BondChar">
    <w:name w:val="HD2Bond Char"/>
    <w:basedOn w:val="DefaultParagraphFont"/>
    <w:link w:val="HD2Bond"/>
    <w:uiPriority w:val="2"/>
    <w:rsid w:val="00F33D0B"/>
    <w:rPr>
      <w:b/>
    </w:rPr>
  </w:style>
  <w:style w:type="paragraph" w:customStyle="1" w:styleId="HD3Bond">
    <w:name w:val="HD3Bond"/>
    <w:basedOn w:val="Normal"/>
    <w:next w:val="Normal"/>
    <w:link w:val="HD3BondChar"/>
    <w:uiPriority w:val="2"/>
    <w:rsid w:val="00F33D0B"/>
    <w:pPr>
      <w:spacing w:line="480" w:lineRule="auto"/>
      <w:jc w:val="both"/>
    </w:pPr>
    <w:rPr>
      <w:rFonts w:ascii="Arial" w:hAnsi="Arial"/>
    </w:rPr>
  </w:style>
  <w:style w:type="character" w:customStyle="1" w:styleId="HD3BondChar">
    <w:name w:val="HD3Bond Char"/>
    <w:basedOn w:val="DefaultParagraphFont"/>
    <w:link w:val="HD3Bond"/>
    <w:uiPriority w:val="2"/>
    <w:rsid w:val="00F33D0B"/>
  </w:style>
  <w:style w:type="table" w:styleId="TableGrid">
    <w:name w:val="Table Grid"/>
    <w:basedOn w:val="TableNormal"/>
    <w:uiPriority w:val="59"/>
    <w:rsid w:val="0012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D77"/>
    <w:pPr>
      <w:tabs>
        <w:tab w:val="center" w:pos="4680"/>
        <w:tab w:val="right" w:pos="9360"/>
      </w:tabs>
    </w:pPr>
  </w:style>
  <w:style w:type="character" w:customStyle="1" w:styleId="HeaderChar">
    <w:name w:val="Header Char"/>
    <w:basedOn w:val="DefaultParagraphFont"/>
    <w:link w:val="Header"/>
    <w:uiPriority w:val="99"/>
    <w:rsid w:val="00C95D77"/>
    <w:rPr>
      <w:rFonts w:ascii="Times New Roman" w:hAnsi="Times New Roman"/>
    </w:rPr>
  </w:style>
  <w:style w:type="paragraph" w:styleId="Footer">
    <w:name w:val="footer"/>
    <w:basedOn w:val="Normal"/>
    <w:link w:val="FooterChar"/>
    <w:uiPriority w:val="99"/>
    <w:unhideWhenUsed/>
    <w:rsid w:val="00C95D77"/>
  </w:style>
  <w:style w:type="character" w:customStyle="1" w:styleId="FooterChar">
    <w:name w:val="Footer Char"/>
    <w:basedOn w:val="DefaultParagraphFont"/>
    <w:link w:val="Footer"/>
    <w:uiPriority w:val="99"/>
    <w:rsid w:val="00C95D7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324FC"/>
    <w:rPr>
      <w:rFonts w:ascii="Times New Roman" w:hAnsi="Times New Roman"/>
    </w:rPr>
  </w:style>
  <w:style w:type="paragraph" w:styleId="Heading1">
    <w:name w:val="heading 1"/>
    <w:basedOn w:val="Normal"/>
    <w:next w:val="Normal"/>
    <w:link w:val="Heading1Char"/>
    <w:uiPriority w:val="99"/>
    <w:rsid w:val="00B47E92"/>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rsid w:val="00B47E92"/>
    <w:pPr>
      <w:keepNext/>
      <w:keepLines/>
      <w:numPr>
        <w:ilvl w:val="1"/>
        <w:numId w:val="3"/>
      </w:numPr>
      <w:spacing w:before="20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semiHidden/>
    <w:unhideWhenUsed/>
    <w:rsid w:val="00B47E92"/>
    <w:pPr>
      <w:keepNext/>
      <w:keepLines/>
      <w:numPr>
        <w:ilvl w:val="2"/>
        <w:numId w:val="3"/>
      </w:numPr>
      <w:spacing w:before="20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rsid w:val="00B47E92"/>
    <w:pPr>
      <w:keepNext/>
      <w:keepLines/>
      <w:numPr>
        <w:ilvl w:val="3"/>
        <w:numId w:val="3"/>
      </w:numPr>
      <w:spacing w:before="200"/>
      <w:outlineLvl w:val="3"/>
    </w:pPr>
    <w:rPr>
      <w:rFonts w:ascii="Arial" w:eastAsiaTheme="majorEastAsia" w:hAnsi="Arial" w:cstheme="majorBidi"/>
      <w:b/>
      <w:bCs/>
      <w:i/>
      <w:iCs/>
    </w:rPr>
  </w:style>
  <w:style w:type="paragraph" w:styleId="Heading5">
    <w:name w:val="heading 5"/>
    <w:basedOn w:val="Normal"/>
    <w:next w:val="Normal"/>
    <w:link w:val="Heading5Char"/>
    <w:uiPriority w:val="9"/>
    <w:semiHidden/>
    <w:unhideWhenUsed/>
    <w:rsid w:val="00B47E92"/>
    <w:pPr>
      <w:keepNext/>
      <w:keepLines/>
      <w:numPr>
        <w:ilvl w:val="4"/>
        <w:numId w:val="3"/>
      </w:numPr>
      <w:spacing w:before="200"/>
      <w:outlineLvl w:val="4"/>
    </w:pPr>
    <w:rPr>
      <w:rFonts w:ascii="Arial" w:eastAsiaTheme="majorEastAsia" w:hAnsi="Arial" w:cstheme="majorBidi"/>
    </w:rPr>
  </w:style>
  <w:style w:type="paragraph" w:styleId="Heading6">
    <w:name w:val="heading 6"/>
    <w:basedOn w:val="Normal"/>
    <w:next w:val="Normal"/>
    <w:link w:val="Heading6Char"/>
    <w:uiPriority w:val="9"/>
    <w:semiHidden/>
    <w:unhideWhenUsed/>
    <w:rsid w:val="00B47E92"/>
    <w:pPr>
      <w:keepNext/>
      <w:keepLines/>
      <w:numPr>
        <w:ilvl w:val="5"/>
        <w:numId w:val="3"/>
      </w:numPr>
      <w:spacing w:before="200"/>
      <w:outlineLvl w:val="5"/>
    </w:pPr>
    <w:rPr>
      <w:rFonts w:ascii="Arial" w:eastAsiaTheme="majorEastAsia" w:hAnsi="Arial" w:cstheme="majorBidi"/>
      <w:i/>
      <w:iCs/>
    </w:rPr>
  </w:style>
  <w:style w:type="paragraph" w:styleId="Heading7">
    <w:name w:val="heading 7"/>
    <w:basedOn w:val="Normal"/>
    <w:next w:val="Normal"/>
    <w:link w:val="Heading7Char"/>
    <w:uiPriority w:val="9"/>
    <w:semiHidden/>
    <w:unhideWhenUsed/>
    <w:rsid w:val="00B47E92"/>
    <w:pPr>
      <w:keepNext/>
      <w:keepLines/>
      <w:numPr>
        <w:ilvl w:val="6"/>
        <w:numId w:val="3"/>
      </w:numPr>
      <w:spacing w:before="200"/>
      <w:outlineLvl w:val="6"/>
    </w:pPr>
    <w:rPr>
      <w:rFonts w:ascii="Arial" w:eastAsiaTheme="majorEastAsia" w:hAnsi="Arial" w:cstheme="majorBidi"/>
      <w:i/>
      <w:iCs/>
    </w:rPr>
  </w:style>
  <w:style w:type="paragraph" w:styleId="Heading8">
    <w:name w:val="heading 8"/>
    <w:basedOn w:val="Normal"/>
    <w:next w:val="Normal"/>
    <w:link w:val="Heading8Char"/>
    <w:uiPriority w:val="9"/>
    <w:semiHidden/>
    <w:unhideWhenUsed/>
    <w:rsid w:val="00B47E92"/>
    <w:pPr>
      <w:keepNext/>
      <w:keepLines/>
      <w:numPr>
        <w:ilvl w:val="7"/>
        <w:numId w:val="3"/>
      </w:numPr>
      <w:spacing w:before="200"/>
      <w:outlineLvl w:val="7"/>
    </w:pPr>
    <w:rPr>
      <w:rFonts w:ascii="Arial" w:eastAsiaTheme="majorEastAsia" w:hAnsi="Arial"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B47E92"/>
    <w:pPr>
      <w:keepNext/>
      <w:keepLines/>
      <w:numPr>
        <w:ilvl w:val="8"/>
        <w:numId w:val="3"/>
      </w:numPr>
      <w:spacing w:before="200"/>
      <w:outlineLvl w:val="8"/>
    </w:pPr>
    <w:rPr>
      <w:rFonts w:ascii="Arial" w:eastAsiaTheme="majorEastAsia" w:hAnsi="Arial"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uiPriority w:val="1"/>
    <w:qFormat/>
    <w:rsid w:val="00F33D0B"/>
    <w:pPr>
      <w:spacing w:after="240"/>
      <w:ind w:left="1440" w:right="1440"/>
    </w:pPr>
    <w:rPr>
      <w:rFonts w:ascii="Arial" w:hAnsi="Arial"/>
    </w:rPr>
  </w:style>
  <w:style w:type="paragraph" w:customStyle="1" w:styleId="Leftss">
    <w:name w:val="Left ss"/>
    <w:basedOn w:val="Normal"/>
    <w:uiPriority w:val="1"/>
    <w:qFormat/>
    <w:rsid w:val="00F33D0B"/>
    <w:pPr>
      <w:spacing w:after="240"/>
    </w:pPr>
    <w:rPr>
      <w:rFonts w:ascii="Arial" w:hAnsi="Arial"/>
    </w:rPr>
  </w:style>
  <w:style w:type="paragraph" w:customStyle="1" w:styleId="Indent5ds">
    <w:name w:val="Indent5ds"/>
    <w:basedOn w:val="Normal"/>
    <w:uiPriority w:val="1"/>
    <w:qFormat/>
    <w:rsid w:val="00F33D0B"/>
    <w:pPr>
      <w:spacing w:line="480" w:lineRule="auto"/>
      <w:ind w:firstLine="720"/>
    </w:pPr>
    <w:rPr>
      <w:rFonts w:ascii="Arial" w:hAnsi="Arial"/>
    </w:rPr>
  </w:style>
  <w:style w:type="paragraph" w:customStyle="1" w:styleId="Indent5ss">
    <w:name w:val="Indent5ss"/>
    <w:basedOn w:val="Normal"/>
    <w:uiPriority w:val="1"/>
    <w:qFormat/>
    <w:rsid w:val="00F33D0B"/>
    <w:pPr>
      <w:spacing w:after="240"/>
      <w:ind w:firstLine="720"/>
    </w:pPr>
    <w:rPr>
      <w:rFonts w:ascii="Arial" w:hAnsi="Arial"/>
    </w:rPr>
  </w:style>
  <w:style w:type="character" w:customStyle="1" w:styleId="Heading1Char">
    <w:name w:val="Heading 1 Char"/>
    <w:basedOn w:val="DefaultParagraphFont"/>
    <w:link w:val="Heading1"/>
    <w:uiPriority w:val="99"/>
    <w:rsid w:val="00F33D0B"/>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B47E92"/>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B47E92"/>
    <w:rPr>
      <w:rFonts w:eastAsiaTheme="majorEastAsia" w:cstheme="majorBidi"/>
      <w:b/>
      <w:bCs/>
    </w:rPr>
  </w:style>
  <w:style w:type="character" w:customStyle="1" w:styleId="Heading4Char">
    <w:name w:val="Heading 4 Char"/>
    <w:basedOn w:val="DefaultParagraphFont"/>
    <w:link w:val="Heading4"/>
    <w:uiPriority w:val="9"/>
    <w:semiHidden/>
    <w:rsid w:val="00B47E92"/>
    <w:rPr>
      <w:rFonts w:eastAsiaTheme="majorEastAsia" w:cstheme="majorBidi"/>
      <w:b/>
      <w:bCs/>
      <w:i/>
      <w:iCs/>
    </w:rPr>
  </w:style>
  <w:style w:type="character" w:customStyle="1" w:styleId="Heading5Char">
    <w:name w:val="Heading 5 Char"/>
    <w:basedOn w:val="DefaultParagraphFont"/>
    <w:link w:val="Heading5"/>
    <w:uiPriority w:val="9"/>
    <w:semiHidden/>
    <w:rsid w:val="00B47E92"/>
    <w:rPr>
      <w:rFonts w:eastAsiaTheme="majorEastAsia" w:cstheme="majorBidi"/>
    </w:rPr>
  </w:style>
  <w:style w:type="character" w:customStyle="1" w:styleId="Heading6Char">
    <w:name w:val="Heading 6 Char"/>
    <w:basedOn w:val="DefaultParagraphFont"/>
    <w:link w:val="Heading6"/>
    <w:uiPriority w:val="9"/>
    <w:semiHidden/>
    <w:rsid w:val="00B47E92"/>
    <w:rPr>
      <w:rFonts w:eastAsiaTheme="majorEastAsia" w:cstheme="majorBidi"/>
      <w:i/>
      <w:iCs/>
    </w:rPr>
  </w:style>
  <w:style w:type="character" w:customStyle="1" w:styleId="Heading7Char">
    <w:name w:val="Heading 7 Char"/>
    <w:basedOn w:val="DefaultParagraphFont"/>
    <w:link w:val="Heading7"/>
    <w:uiPriority w:val="9"/>
    <w:semiHidden/>
    <w:rsid w:val="00B47E92"/>
    <w:rPr>
      <w:rFonts w:eastAsiaTheme="majorEastAsia" w:cstheme="majorBidi"/>
      <w:i/>
      <w:iCs/>
    </w:rPr>
  </w:style>
  <w:style w:type="character" w:customStyle="1" w:styleId="Heading8Char">
    <w:name w:val="Heading 8 Char"/>
    <w:basedOn w:val="DefaultParagraphFont"/>
    <w:link w:val="Heading8"/>
    <w:uiPriority w:val="9"/>
    <w:semiHidden/>
    <w:rsid w:val="00B47E92"/>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7E92"/>
    <w:rPr>
      <w:rFonts w:eastAsiaTheme="majorEastAsia" w:cstheme="majorBidi"/>
      <w:i/>
      <w:iCs/>
      <w:sz w:val="20"/>
      <w:szCs w:val="20"/>
    </w:rPr>
  </w:style>
  <w:style w:type="paragraph" w:styleId="TOCHeading">
    <w:name w:val="TOC Heading"/>
    <w:basedOn w:val="Heading1"/>
    <w:next w:val="Normal"/>
    <w:uiPriority w:val="39"/>
    <w:semiHidden/>
    <w:unhideWhenUsed/>
    <w:rsid w:val="00B47E92"/>
    <w:pPr>
      <w:outlineLvl w:val="9"/>
    </w:pPr>
  </w:style>
  <w:style w:type="paragraph" w:styleId="BlockText">
    <w:name w:val="Block Text"/>
    <w:basedOn w:val="Normal"/>
    <w:uiPriority w:val="99"/>
    <w:semiHidden/>
    <w:unhideWhenUsed/>
    <w:rsid w:val="00B47E9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Arial" w:eastAsiaTheme="minorEastAsia" w:hAnsi="Arial" w:cstheme="minorBidi"/>
      <w:i/>
      <w:iCs/>
    </w:rPr>
  </w:style>
  <w:style w:type="paragraph" w:styleId="EnvelopeAddress">
    <w:name w:val="envelope address"/>
    <w:basedOn w:val="Normal"/>
    <w:uiPriority w:val="99"/>
    <w:semiHidden/>
    <w:unhideWhenUsed/>
    <w:rsid w:val="001275FC"/>
    <w:pPr>
      <w:framePr w:w="7920" w:h="1980" w:hRule="exact" w:hSpace="180" w:wrap="auto" w:hAnchor="page" w:xAlign="center" w:yAlign="bottom"/>
      <w:ind w:left="2880"/>
    </w:pPr>
    <w:rPr>
      <w:rFonts w:ascii="Arial" w:eastAsiaTheme="majorEastAsia" w:hAnsi="Arial" w:cstheme="majorBidi"/>
    </w:rPr>
  </w:style>
  <w:style w:type="paragraph" w:styleId="EnvelopeReturn">
    <w:name w:val="envelope return"/>
    <w:basedOn w:val="Normal"/>
    <w:uiPriority w:val="99"/>
    <w:semiHidden/>
    <w:unhideWhenUsed/>
    <w:rsid w:val="00B47E92"/>
    <w:rPr>
      <w:rFonts w:ascii="Arial" w:eastAsiaTheme="majorEastAsia" w:hAnsi="Arial" w:cstheme="majorBidi"/>
      <w:sz w:val="20"/>
      <w:szCs w:val="20"/>
    </w:rPr>
  </w:style>
  <w:style w:type="paragraph" w:styleId="Index1">
    <w:name w:val="index 1"/>
    <w:basedOn w:val="Normal"/>
    <w:next w:val="Normal"/>
    <w:autoRedefine/>
    <w:uiPriority w:val="99"/>
    <w:semiHidden/>
    <w:unhideWhenUsed/>
    <w:rsid w:val="00B47E92"/>
    <w:pPr>
      <w:ind w:left="240" w:hanging="240"/>
    </w:pPr>
    <w:rPr>
      <w:rFonts w:ascii="Arial" w:hAnsi="Arial"/>
    </w:rPr>
  </w:style>
  <w:style w:type="paragraph" w:styleId="IndexHeading">
    <w:name w:val="index heading"/>
    <w:basedOn w:val="Normal"/>
    <w:next w:val="Index1"/>
    <w:uiPriority w:val="99"/>
    <w:semiHidden/>
    <w:unhideWhenUsed/>
    <w:rsid w:val="00B47E92"/>
    <w:rPr>
      <w:rFonts w:ascii="Arial" w:eastAsiaTheme="majorEastAsia" w:hAnsi="Arial" w:cstheme="majorBidi"/>
      <w:b/>
      <w:bCs/>
    </w:rPr>
  </w:style>
  <w:style w:type="paragraph" w:styleId="TOAHeading">
    <w:name w:val="toa heading"/>
    <w:basedOn w:val="Normal"/>
    <w:next w:val="Normal"/>
    <w:uiPriority w:val="99"/>
    <w:semiHidden/>
    <w:unhideWhenUsed/>
    <w:rsid w:val="00B47E92"/>
    <w:pPr>
      <w:spacing w:before="120"/>
    </w:pPr>
    <w:rPr>
      <w:rFonts w:ascii="Arial" w:eastAsiaTheme="majorEastAsia" w:hAnsi="Arial" w:cstheme="majorBidi"/>
      <w:b/>
      <w:bCs/>
    </w:rPr>
  </w:style>
  <w:style w:type="paragraph" w:customStyle="1" w:styleId="HD1Bond">
    <w:name w:val="HD1Bond"/>
    <w:basedOn w:val="Normal"/>
    <w:next w:val="Normal"/>
    <w:link w:val="HD1BondChar"/>
    <w:uiPriority w:val="2"/>
    <w:qFormat/>
    <w:rsid w:val="00F33D0B"/>
    <w:pPr>
      <w:spacing w:after="240"/>
      <w:jc w:val="both"/>
    </w:pPr>
    <w:rPr>
      <w:rFonts w:ascii="Arial" w:hAnsi="Arial"/>
    </w:rPr>
  </w:style>
  <w:style w:type="character" w:customStyle="1" w:styleId="HD1BondChar">
    <w:name w:val="HD1Bond Char"/>
    <w:basedOn w:val="DefaultParagraphFont"/>
    <w:link w:val="HD1Bond"/>
    <w:uiPriority w:val="2"/>
    <w:rsid w:val="00F33D0B"/>
  </w:style>
  <w:style w:type="paragraph" w:customStyle="1" w:styleId="HD2Bond">
    <w:name w:val="HD2Bond"/>
    <w:basedOn w:val="Normal"/>
    <w:next w:val="Normal"/>
    <w:link w:val="HD2BondChar"/>
    <w:uiPriority w:val="2"/>
    <w:rsid w:val="00F33D0B"/>
    <w:pPr>
      <w:spacing w:line="480" w:lineRule="auto"/>
      <w:ind w:firstLine="720"/>
    </w:pPr>
    <w:rPr>
      <w:rFonts w:ascii="Arial" w:hAnsi="Arial"/>
      <w:b/>
    </w:rPr>
  </w:style>
  <w:style w:type="character" w:customStyle="1" w:styleId="HD2BondChar">
    <w:name w:val="HD2Bond Char"/>
    <w:basedOn w:val="DefaultParagraphFont"/>
    <w:link w:val="HD2Bond"/>
    <w:uiPriority w:val="2"/>
    <w:rsid w:val="00F33D0B"/>
    <w:rPr>
      <w:b/>
    </w:rPr>
  </w:style>
  <w:style w:type="paragraph" w:customStyle="1" w:styleId="HD3Bond">
    <w:name w:val="HD3Bond"/>
    <w:basedOn w:val="Normal"/>
    <w:next w:val="Normal"/>
    <w:link w:val="HD3BondChar"/>
    <w:uiPriority w:val="2"/>
    <w:rsid w:val="00F33D0B"/>
    <w:pPr>
      <w:spacing w:line="480" w:lineRule="auto"/>
      <w:jc w:val="both"/>
    </w:pPr>
    <w:rPr>
      <w:rFonts w:ascii="Arial" w:hAnsi="Arial"/>
    </w:rPr>
  </w:style>
  <w:style w:type="character" w:customStyle="1" w:styleId="HD3BondChar">
    <w:name w:val="HD3Bond Char"/>
    <w:basedOn w:val="DefaultParagraphFont"/>
    <w:link w:val="HD3Bond"/>
    <w:uiPriority w:val="2"/>
    <w:rsid w:val="00F33D0B"/>
  </w:style>
  <w:style w:type="table" w:styleId="TableGrid">
    <w:name w:val="Table Grid"/>
    <w:basedOn w:val="TableNormal"/>
    <w:uiPriority w:val="59"/>
    <w:rsid w:val="0012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D77"/>
    <w:pPr>
      <w:tabs>
        <w:tab w:val="center" w:pos="4680"/>
        <w:tab w:val="right" w:pos="9360"/>
      </w:tabs>
    </w:pPr>
  </w:style>
  <w:style w:type="character" w:customStyle="1" w:styleId="HeaderChar">
    <w:name w:val="Header Char"/>
    <w:basedOn w:val="DefaultParagraphFont"/>
    <w:link w:val="Header"/>
    <w:uiPriority w:val="99"/>
    <w:rsid w:val="00C95D77"/>
    <w:rPr>
      <w:rFonts w:ascii="Times New Roman" w:hAnsi="Times New Roman"/>
    </w:rPr>
  </w:style>
  <w:style w:type="paragraph" w:styleId="Footer">
    <w:name w:val="footer"/>
    <w:basedOn w:val="Normal"/>
    <w:link w:val="FooterChar"/>
    <w:uiPriority w:val="99"/>
    <w:unhideWhenUsed/>
    <w:rsid w:val="00C95D77"/>
  </w:style>
  <w:style w:type="character" w:customStyle="1" w:styleId="FooterChar">
    <w:name w:val="Footer Char"/>
    <w:basedOn w:val="DefaultParagraphFont"/>
    <w:link w:val="Footer"/>
    <w:uiPriority w:val="99"/>
    <w:rsid w:val="00C95D7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Norm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2017-12-05T18:46:00Z</dcterms:created>
  <dcterms:modified xsi:type="dcterms:W3CDTF">2017-12-05T18:46:00Z</dcterms:modified>
</cp:coreProperties>
</file>